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Beide 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42934384" name="ecd98360-df24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902483" name="ecd98360-df24-11f0-984e-ed15b32bf3d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7994931" name="0529e0e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8266772" name="0529e0e0-df25-11f0-984e-ed15b32bf3d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3856744" name="2f9f530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7541726" name="2f9f5300-df25-11f0-984e-ed15b32bf3d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Beide 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99928396" name="443c6c8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1233061" name="443c6c80-df25-11f0-984e-ed15b32bf3d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Bankschalter / Empfang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97205556" name="7d17a15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3729541" name="7d17a150-df25-11f0-984e-ed15b32bf3d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Bankschalter / Empfang 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55821711" name="f01e0a9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5454271" name="f01e0a90-df25-11f0-984e-ed15b32bf3d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Bankschalter / Empfang 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0944916" name="ff5e9ce0-df25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4377389" name="ff5e9ce0-df25-11f0-984e-ed15b32bf3d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Lager / Tresorraum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90577460" name="9f4bed70-df26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8622761" name="9f4bed70-df26-11f0-984e-ed15b32bf3d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29636609" name="b26f3830-df26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3036180" name="b26f3830-df26-11f0-984e-ed15b32bf3d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2727257" name="de5fffb0-df26-11f0-984e-ed15b32bf3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2410544" name="de5fffb0-df26-11f0-984e-ed15b32bf3d6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